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6" w:rsidRDefault="00D108B6" w:rsidP="00D108B6">
      <w:r>
        <w:t>FATTISPECIE GIURIDICHE E SANZIONI DISCIPLINARI</w:t>
      </w:r>
    </w:p>
    <w:p w:rsidR="00CC53D5" w:rsidRPr="00CC53D5" w:rsidRDefault="00CC53D5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>Nell’ottica di favorire l’anticipo della soglia di sensibilità al rischio e promuovere forme</w:t>
      </w:r>
    </w:p>
    <w:p w:rsidR="007459A0" w:rsidRPr="007459A0" w:rsidRDefault="00CC53D5" w:rsidP="007459A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>conciliative che possano evitare il coinvolgimento dei minori, sia quali autori del reato sia quali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CC53D5">
        <w:rPr>
          <w:rFonts w:asciiTheme="majorHAnsi" w:hAnsiTheme="majorHAnsi"/>
          <w:sz w:val="24"/>
          <w:szCs w:val="24"/>
        </w:rPr>
        <w:t>vittime in procedimenti penali, l’art. 7 della Legge 71/2017 prevede uno strumento d’intervento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>preventivo, già sperimentato in materia di atti persecutori (</w:t>
      </w:r>
      <w:proofErr w:type="spellStart"/>
      <w:r w:rsidR="007459A0" w:rsidRPr="007459A0">
        <w:rPr>
          <w:rFonts w:asciiTheme="majorHAnsi" w:hAnsiTheme="majorHAnsi"/>
          <w:sz w:val="24"/>
          <w:szCs w:val="24"/>
        </w:rPr>
        <w:t>stalking</w:t>
      </w:r>
      <w:proofErr w:type="spellEnd"/>
      <w:r w:rsidR="007459A0" w:rsidRPr="007459A0">
        <w:rPr>
          <w:rFonts w:asciiTheme="majorHAnsi" w:hAnsiTheme="majorHAnsi"/>
          <w:sz w:val="24"/>
          <w:szCs w:val="24"/>
        </w:rPr>
        <w:t>), ovvero l’ammonimento del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>Questore.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>Tale previsione risulta pienamente coerente con la scelta legislativa di contrastare il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 xml:space="preserve">fenomeno del </w:t>
      </w:r>
      <w:proofErr w:type="spellStart"/>
      <w:r w:rsidR="007459A0" w:rsidRPr="007459A0">
        <w:rPr>
          <w:rFonts w:asciiTheme="majorHAnsi" w:hAnsiTheme="majorHAnsi"/>
          <w:sz w:val="24"/>
          <w:szCs w:val="24"/>
        </w:rPr>
        <w:t>cyberbullismo</w:t>
      </w:r>
      <w:proofErr w:type="spellEnd"/>
      <w:r w:rsidR="007459A0" w:rsidRPr="007459A0">
        <w:rPr>
          <w:rFonts w:asciiTheme="majorHAnsi" w:hAnsiTheme="majorHAnsi"/>
          <w:sz w:val="24"/>
          <w:szCs w:val="24"/>
        </w:rPr>
        <w:t xml:space="preserve"> con azioni di tipo educativo, stimolando nel minore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>ultraquattordicenne una riflessione sul disvalore sociale del proprio atto nonché una generale presa</w:t>
      </w:r>
      <w:r w:rsidR="007459A0">
        <w:rPr>
          <w:rFonts w:asciiTheme="majorHAnsi" w:hAnsiTheme="majorHAnsi"/>
          <w:sz w:val="24"/>
          <w:szCs w:val="24"/>
        </w:rPr>
        <w:t xml:space="preserve"> </w:t>
      </w:r>
      <w:r w:rsidR="007459A0" w:rsidRPr="007459A0">
        <w:rPr>
          <w:rFonts w:asciiTheme="majorHAnsi" w:hAnsiTheme="majorHAnsi"/>
          <w:sz w:val="24"/>
          <w:szCs w:val="24"/>
        </w:rPr>
        <w:t>di coscienza sul medesimo.</w:t>
      </w:r>
    </w:p>
    <w:p w:rsidR="007459A0" w:rsidRPr="007459A0" w:rsidRDefault="007459A0" w:rsidP="007459A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459A0">
        <w:rPr>
          <w:rFonts w:asciiTheme="majorHAnsi" w:hAnsiTheme="majorHAnsi"/>
          <w:sz w:val="24"/>
          <w:szCs w:val="24"/>
        </w:rPr>
        <w:t>Nello specifico, nel caso in cui non si ravvisino reati perseguibili d’ufficio o non sia stata</w:t>
      </w:r>
    </w:p>
    <w:p w:rsidR="007459A0" w:rsidRPr="007459A0" w:rsidRDefault="007459A0" w:rsidP="007459A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459A0">
        <w:rPr>
          <w:rFonts w:asciiTheme="majorHAnsi" w:hAnsiTheme="majorHAnsi"/>
          <w:sz w:val="24"/>
          <w:szCs w:val="24"/>
        </w:rPr>
        <w:t>formalizzata querela o presentata denuncia per le condotte di ingiuria (reato recentemente</w:t>
      </w:r>
    </w:p>
    <w:p w:rsidR="00CC53D5" w:rsidRPr="00CC53D5" w:rsidRDefault="007459A0" w:rsidP="007459A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459A0">
        <w:rPr>
          <w:rFonts w:asciiTheme="majorHAnsi" w:hAnsiTheme="majorHAnsi"/>
          <w:sz w:val="24"/>
          <w:szCs w:val="24"/>
        </w:rPr>
        <w:t>depenalizzato), diffamazione, minaccia o trattamento illecito dei dati personali commessi mediante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459A0">
        <w:rPr>
          <w:rFonts w:asciiTheme="majorHAnsi" w:hAnsiTheme="majorHAnsi"/>
          <w:sz w:val="24"/>
          <w:szCs w:val="24"/>
        </w:rPr>
        <w:t>la rete Internet nei confronti di altro minorenne, è possibile rivolgere al Questore, autorità</w:t>
      </w:r>
      <w:r>
        <w:rPr>
          <w:rFonts w:asciiTheme="majorHAnsi" w:hAnsiTheme="majorHAnsi"/>
          <w:sz w:val="24"/>
          <w:szCs w:val="24"/>
        </w:rPr>
        <w:t xml:space="preserve"> </w:t>
      </w:r>
      <w:r w:rsidRPr="007459A0">
        <w:rPr>
          <w:rFonts w:asciiTheme="majorHAnsi" w:hAnsiTheme="majorHAnsi"/>
          <w:sz w:val="24"/>
          <w:szCs w:val="24"/>
        </w:rPr>
        <w:t>provinciale di Pubblica Sicurezza, un’istanza di ammonimento nei confronti del minore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7459A0">
        <w:rPr>
          <w:rFonts w:asciiTheme="majorHAnsi" w:hAnsiTheme="majorHAnsi"/>
          <w:sz w:val="24"/>
          <w:szCs w:val="24"/>
        </w:rPr>
        <w:t>ultraquattordicenne autore della condotta molesta.</w:t>
      </w:r>
    </w:p>
    <w:p w:rsidR="00CC53D5" w:rsidRPr="00CC53D5" w:rsidRDefault="00CC53D5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Nel bullismo e </w:t>
      </w:r>
      <w:proofErr w:type="spellStart"/>
      <w:r w:rsidRPr="00CC53D5">
        <w:rPr>
          <w:rFonts w:asciiTheme="majorHAnsi" w:hAnsiTheme="majorHAnsi"/>
          <w:sz w:val="24"/>
          <w:szCs w:val="24"/>
        </w:rPr>
        <w:t>cyberbullismo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possono concretizzarsi violazioni della legge civile e penale.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>Di seguito un elenco esemplificativo e non esaustivo delle fattispecie più ricorrenti per il Bullismo: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Ingiuria e Diffamazione, artt. 594 e 595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; Minaccia, art. 612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(se non aggravata come ad es in caso minaccia di morte); Lesioni , art.583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; Furto, art. 625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>; Danneggiamento aggravato, (</w:t>
      </w:r>
      <w:proofErr w:type="spellStart"/>
      <w:r w:rsidRPr="00CC53D5">
        <w:rPr>
          <w:rFonts w:asciiTheme="majorHAnsi" w:hAnsiTheme="majorHAnsi"/>
          <w:sz w:val="24"/>
          <w:szCs w:val="24"/>
        </w:rPr>
        <w:t>artt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420, 635 e </w:t>
      </w:r>
      <w:proofErr w:type="spellStart"/>
      <w:r w:rsidRPr="00CC53D5">
        <w:rPr>
          <w:rFonts w:asciiTheme="majorHAnsi" w:hAnsiTheme="majorHAnsi"/>
          <w:sz w:val="24"/>
          <w:szCs w:val="24"/>
        </w:rPr>
        <w:t>ss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); Violenza privata, art. 610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; Estorsione ,art. 629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; Rapina, art. 628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; Violenza sessuale, violenza sessuale di gruppo (artt. 609 bis ed </w:t>
      </w:r>
      <w:proofErr w:type="spellStart"/>
      <w:r w:rsidRPr="00CC53D5">
        <w:rPr>
          <w:rFonts w:asciiTheme="majorHAnsi" w:hAnsiTheme="majorHAnsi"/>
          <w:sz w:val="24"/>
          <w:szCs w:val="24"/>
        </w:rPr>
        <w:t>octies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); Istigazione e aiuto al suicidio, art. 580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. In via aggiuntiva, di seguito un elenco esemplificativo e non esaustivo delle fattispecie più ricorrenti per il </w:t>
      </w:r>
      <w:proofErr w:type="spellStart"/>
      <w:r w:rsidRPr="00CC53D5">
        <w:rPr>
          <w:rFonts w:asciiTheme="majorHAnsi" w:hAnsiTheme="majorHAnsi"/>
          <w:sz w:val="24"/>
          <w:szCs w:val="24"/>
        </w:rPr>
        <w:t>Cyberbullismo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: Ingiuria online (art. 594cp ), Diffamazione online (art. 595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), Minaccia online (art. 612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), Trattamento illecito di dati personali (art. 167 del codice della privacy), Accesso abusivo a sistema informatico aggravato, art.615 ter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Delitti di falso rispetto ad atti pubblici (es falsificazione dei registri scolastici etc...)art. 476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3D5">
        <w:rPr>
          <w:rFonts w:asciiTheme="majorHAnsi" w:hAnsiTheme="majorHAnsi"/>
          <w:sz w:val="24"/>
          <w:szCs w:val="24"/>
        </w:rPr>
        <w:t>ss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, Sostituzione di persona (furto identità) art. 494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Produzione, cessione e detenzione materiale pedopornografico art. 600 </w:t>
      </w:r>
      <w:proofErr w:type="spellStart"/>
      <w:r w:rsidRPr="00CC53D5">
        <w:rPr>
          <w:rFonts w:asciiTheme="majorHAnsi" w:hAnsiTheme="majorHAnsi"/>
          <w:sz w:val="24"/>
          <w:szCs w:val="24"/>
        </w:rPr>
        <w:t>bis,ter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quater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  Revenge </w:t>
      </w:r>
      <w:proofErr w:type="spellStart"/>
      <w:r w:rsidRPr="00CC53D5">
        <w:rPr>
          <w:rFonts w:asciiTheme="majorHAnsi" w:hAnsiTheme="majorHAnsi"/>
          <w:sz w:val="24"/>
          <w:szCs w:val="24"/>
        </w:rPr>
        <w:t>porn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art. 612 ter </w:t>
      </w:r>
      <w:proofErr w:type="spellStart"/>
      <w:r w:rsidRPr="00CC53D5">
        <w:rPr>
          <w:rFonts w:asciiTheme="majorHAnsi" w:hAnsiTheme="majorHAnsi"/>
          <w:sz w:val="24"/>
          <w:szCs w:val="24"/>
        </w:rPr>
        <w:t>cp</w:t>
      </w:r>
      <w:proofErr w:type="spellEnd"/>
      <w:r w:rsidRPr="00CC53D5">
        <w:rPr>
          <w:rFonts w:asciiTheme="majorHAnsi" w:hAnsiTheme="majorHAnsi"/>
          <w:sz w:val="24"/>
          <w:szCs w:val="24"/>
        </w:rPr>
        <w:t>.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I comportamenti sopra elencati, opportunamente appurati, e che si configurino dunque come forme di bullismo e </w:t>
      </w:r>
      <w:proofErr w:type="spellStart"/>
      <w:r w:rsidRPr="00CC53D5">
        <w:rPr>
          <w:rFonts w:asciiTheme="majorHAnsi" w:hAnsiTheme="majorHAnsi"/>
          <w:sz w:val="24"/>
          <w:szCs w:val="24"/>
        </w:rPr>
        <w:t>cyberbullismo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possono anche configurarsi quali mancanze disciplinari gravi e conseguentemente sanzionati sulla base di quanto previsto dal Regolamento d’Istituto.  </w:t>
      </w:r>
      <w:r w:rsidRPr="00CC53D5">
        <w:rPr>
          <w:rFonts w:asciiTheme="majorHAnsi" w:hAnsiTheme="majorHAnsi"/>
          <w:sz w:val="24"/>
          <w:szCs w:val="24"/>
        </w:rPr>
        <w:lastRenderedPageBreak/>
        <w:t xml:space="preserve">L’Istituto adotta un Regolamento volto a sanzionare episodi di mancato rispetto delle regole nell’ambito del bullismo e del </w:t>
      </w:r>
      <w:proofErr w:type="spellStart"/>
      <w:r w:rsidRPr="00CC53D5">
        <w:rPr>
          <w:rFonts w:asciiTheme="majorHAnsi" w:hAnsiTheme="majorHAnsi"/>
          <w:sz w:val="24"/>
          <w:szCs w:val="24"/>
        </w:rPr>
        <w:t>cyberbullismo</w:t>
      </w:r>
      <w:proofErr w:type="spellEnd"/>
      <w:r w:rsidRPr="00CC53D5">
        <w:rPr>
          <w:rFonts w:asciiTheme="majorHAnsi" w:hAnsiTheme="majorHAnsi"/>
          <w:sz w:val="24"/>
          <w:szCs w:val="24"/>
        </w:rPr>
        <w:t xml:space="preserve">, prevedendo specifiche sanzioni disciplinari. Il provvedimento disciplinare ha lo scopo di tendere alla rieducazione ed al recupero dello studente, attraverso attività di natura sociale/culturale che vadano a vantaggio della comunità scolastica. I soggetti preposti a comminare la sanzione disciplinare è il Dirigente scolastico in accordo con il Team </w:t>
      </w:r>
      <w:proofErr w:type="spellStart"/>
      <w:r w:rsidRPr="00CC53D5">
        <w:rPr>
          <w:rFonts w:asciiTheme="majorHAnsi" w:hAnsiTheme="majorHAnsi"/>
          <w:sz w:val="24"/>
          <w:szCs w:val="24"/>
        </w:rPr>
        <w:t>antibullismo</w:t>
      </w:r>
      <w:proofErr w:type="spellEnd"/>
      <w:r w:rsidRPr="00CC53D5">
        <w:rPr>
          <w:rFonts w:asciiTheme="majorHAnsi" w:hAnsiTheme="majorHAnsi"/>
          <w:sz w:val="24"/>
          <w:szCs w:val="24"/>
        </w:rPr>
        <w:t>.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Quando possibile, saranno privilegiate le sanzioni disciplinari di tipo riparatorio: a titolo esemplificativo e non esaustivo: 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a) Attività di natura sociale/culturale che vadano a vantaggio della comunità scolastica: es. svolgimento di azioni positive, quali lettera di scuse a vittima e famiglia, pulizia dei locali, attività di ricerca, riordino materiali, produzione di lavori scritti/artistici che inducano lo studente a riflettere e rielaborare criticamente gli episodi accaduti; 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b) Sospensione del diritto a partecipare ad attività complementari ed extrascolastiche; </w:t>
      </w:r>
    </w:p>
    <w:p w:rsidR="00D108B6" w:rsidRPr="00CC53D5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 xml:space="preserve">c) Sospensione attiva a scuola con svolgimento di attività rieducative( sanzione non riparatoria ma punitiva); </w:t>
      </w:r>
    </w:p>
    <w:p w:rsidR="006B5593" w:rsidRDefault="00D108B6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53D5">
        <w:rPr>
          <w:rFonts w:asciiTheme="majorHAnsi" w:hAnsiTheme="majorHAnsi"/>
          <w:sz w:val="24"/>
          <w:szCs w:val="24"/>
        </w:rPr>
        <w:t>d) Sospensione dalle attività scolastiche (sanzione non riparatoria ma punitiva).</w:t>
      </w:r>
    </w:p>
    <w:p w:rsidR="00294350" w:rsidRDefault="00294350" w:rsidP="00CC53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94350" w:rsidRPr="00294350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ULTERIORI </w:t>
      </w:r>
      <w:r w:rsidRPr="00294350">
        <w:rPr>
          <w:rFonts w:asciiTheme="majorHAnsi" w:hAnsiTheme="majorHAnsi"/>
          <w:sz w:val="24"/>
          <w:szCs w:val="24"/>
        </w:rPr>
        <w:t>RIFERIMENTI NORMATIVI</w:t>
      </w:r>
    </w:p>
    <w:p w:rsidR="00294350" w:rsidRPr="00294350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94350">
        <w:rPr>
          <w:rFonts w:asciiTheme="majorHAnsi" w:hAnsiTheme="majorHAnsi"/>
          <w:sz w:val="24"/>
          <w:szCs w:val="24"/>
        </w:rPr>
        <w:t xml:space="preserve">Artt. 3- 33- 34 della Costituzione Italiana; </w:t>
      </w:r>
    </w:p>
    <w:p w:rsidR="00294350" w:rsidRPr="00294350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94350">
        <w:rPr>
          <w:rFonts w:asciiTheme="majorHAnsi" w:hAnsiTheme="majorHAnsi"/>
          <w:sz w:val="24"/>
          <w:szCs w:val="24"/>
        </w:rPr>
        <w:t xml:space="preserve">Artt. 581-582-594-595-610-612-635 del Codice Penale, recanti la normativa su ingiuria, diffamazione, minaccia, trattamento illecito dei dati personali( legge 71 del 2017); </w:t>
      </w:r>
    </w:p>
    <w:p w:rsidR="00294350" w:rsidRPr="00294350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94350">
        <w:rPr>
          <w:rFonts w:asciiTheme="majorHAnsi" w:hAnsiTheme="majorHAnsi"/>
          <w:sz w:val="24"/>
          <w:szCs w:val="24"/>
        </w:rPr>
        <w:t xml:space="preserve">Artt. 2043-2047-2048 Codice Civile; </w:t>
      </w:r>
    </w:p>
    <w:p w:rsidR="00294350" w:rsidRPr="00294350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94350">
        <w:rPr>
          <w:rFonts w:asciiTheme="majorHAnsi" w:hAnsiTheme="majorHAnsi"/>
          <w:sz w:val="24"/>
          <w:szCs w:val="24"/>
        </w:rPr>
        <w:t>Legge n. 107 del 13-07-2015 Riforma del sistema nazionale di istruzione e formazione e delega per il riordino delle disposizioni legislative vigenti;</w:t>
      </w:r>
    </w:p>
    <w:p w:rsidR="00294350" w:rsidRPr="00CC53D5" w:rsidRDefault="00294350" w:rsidP="002943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94350">
        <w:rPr>
          <w:rFonts w:asciiTheme="majorHAnsi" w:hAnsiTheme="majorHAnsi"/>
          <w:sz w:val="24"/>
          <w:szCs w:val="24"/>
        </w:rPr>
        <w:t>Legge n. 92 del 29-08-2019 Introduzione dell’insegnamento scolastico dell’educazione civica che prevede l’educazione alla cittadinanza digitale.</w:t>
      </w:r>
    </w:p>
    <w:sectPr w:rsidR="00294350" w:rsidRPr="00CC5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4F"/>
    <w:rsid w:val="0006614F"/>
    <w:rsid w:val="00294350"/>
    <w:rsid w:val="007459A0"/>
    <w:rsid w:val="009B1DB0"/>
    <w:rsid w:val="00AC55B3"/>
    <w:rsid w:val="00CC53D5"/>
    <w:rsid w:val="00D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5</cp:revision>
  <dcterms:created xsi:type="dcterms:W3CDTF">2021-10-26T19:07:00Z</dcterms:created>
  <dcterms:modified xsi:type="dcterms:W3CDTF">2021-10-26T20:33:00Z</dcterms:modified>
</cp:coreProperties>
</file>